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65" w:rsidRDefault="009F7365" w:rsidP="001F07CF">
      <w:pPr>
        <w:ind w:left="7200" w:firstLine="720"/>
        <w:rPr>
          <w:rFonts w:ascii="Arial" w:hAnsi="Arial" w:cs="Arial"/>
          <w:b/>
          <w:sz w:val="36"/>
          <w:szCs w:val="36"/>
        </w:rPr>
      </w:pPr>
      <w:bookmarkStart w:id="0" w:name="_GoBack"/>
      <w:bookmarkEnd w:id="0"/>
      <w:r>
        <w:rPr>
          <w:rFonts w:ascii="Arial" w:hAnsi="Arial" w:cs="Arial"/>
          <w:b/>
          <w:noProof/>
          <w:sz w:val="22"/>
          <w:szCs w:val="22"/>
        </w:rPr>
        <w:drawing>
          <wp:inline distT="0" distB="0" distL="0" distR="0" wp14:anchorId="56B9E2A2" wp14:editId="343844E2">
            <wp:extent cx="714375" cy="371475"/>
            <wp:effectExtent l="0" t="0" r="9525" b="9525"/>
            <wp:docPr id="1" name="Picture 1" descr="Springboard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board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371475"/>
                    </a:xfrm>
                    <a:prstGeom prst="rect">
                      <a:avLst/>
                    </a:prstGeom>
                    <a:noFill/>
                    <a:ln>
                      <a:noFill/>
                    </a:ln>
                  </pic:spPr>
                </pic:pic>
              </a:graphicData>
            </a:graphic>
          </wp:inline>
        </w:drawing>
      </w:r>
    </w:p>
    <w:p w:rsidR="009F7365" w:rsidRPr="00CC3B1A" w:rsidRDefault="0096133D" w:rsidP="001F07CF">
      <w:pPr>
        <w:pStyle w:val="Title"/>
        <w:rPr>
          <w:rFonts w:ascii="Calibri" w:hAnsi="Calibri" w:cs="Calibri"/>
          <w:sz w:val="22"/>
          <w:szCs w:val="22"/>
        </w:rPr>
      </w:pPr>
      <w:r>
        <w:t>Procedure FAM 4</w:t>
      </w:r>
      <w:r w:rsidR="009F7365" w:rsidRPr="00CC3B1A">
        <w:t xml:space="preserve">:  </w:t>
      </w:r>
      <w:r w:rsidR="00362B35">
        <w:t>Complaints</w:t>
      </w:r>
    </w:p>
    <w:p w:rsidR="00362B35" w:rsidRPr="00362B35" w:rsidRDefault="00362B35" w:rsidP="00362B35">
      <w:pPr>
        <w:ind w:left="567" w:hanging="567"/>
        <w:jc w:val="both"/>
        <w:rPr>
          <w:rFonts w:asciiTheme="minorHAnsi" w:hAnsiTheme="minorHAnsi" w:cstheme="minorHAnsi"/>
        </w:rPr>
      </w:pPr>
      <w:r w:rsidRPr="00362B35">
        <w:rPr>
          <w:rFonts w:asciiTheme="minorHAnsi" w:hAnsiTheme="minorHAnsi" w:cstheme="minorHAnsi"/>
          <w:b/>
        </w:rPr>
        <w:t xml:space="preserve">1.   </w:t>
      </w:r>
      <w:r w:rsidRPr="00362B35">
        <w:rPr>
          <w:rFonts w:asciiTheme="minorHAnsi" w:hAnsiTheme="minorHAnsi" w:cstheme="minorHAnsi"/>
          <w:b/>
        </w:rPr>
        <w:tab/>
        <w:t xml:space="preserve">Scope </w:t>
      </w:r>
      <w:r w:rsidRPr="00362B35">
        <w:rPr>
          <w:rFonts w:asciiTheme="minorHAnsi" w:hAnsiTheme="minorHAnsi" w:cstheme="minorHAnsi"/>
        </w:rPr>
        <w:t>This procedure desc</w:t>
      </w:r>
      <w:r w:rsidR="00F07A64">
        <w:rPr>
          <w:rFonts w:asciiTheme="minorHAnsi" w:hAnsiTheme="minorHAnsi" w:cstheme="minorHAnsi"/>
        </w:rPr>
        <w:t xml:space="preserve">ribes how Springboard </w:t>
      </w:r>
      <w:r w:rsidRPr="00362B35">
        <w:rPr>
          <w:rFonts w:asciiTheme="minorHAnsi" w:hAnsiTheme="minorHAnsi" w:cstheme="minorHAnsi"/>
        </w:rPr>
        <w:t>handle</w:t>
      </w:r>
      <w:r w:rsidR="00F07A64">
        <w:rPr>
          <w:rFonts w:asciiTheme="minorHAnsi" w:hAnsiTheme="minorHAnsi" w:cstheme="minorHAnsi"/>
        </w:rPr>
        <w:t>s</w:t>
      </w:r>
      <w:r w:rsidRPr="00362B35">
        <w:rPr>
          <w:rFonts w:asciiTheme="minorHAnsi" w:hAnsiTheme="minorHAnsi" w:cstheme="minorHAnsi"/>
        </w:rPr>
        <w:t xml:space="preserve"> complaints either from customers or others. This procedure is not to be confused with any other appeals procedures relating to assessments. </w:t>
      </w:r>
    </w:p>
    <w:p w:rsidR="00362B35" w:rsidRPr="00362B35" w:rsidRDefault="00362B35" w:rsidP="00362B35">
      <w:pPr>
        <w:ind w:left="567" w:hanging="567"/>
        <w:jc w:val="both"/>
        <w:rPr>
          <w:rFonts w:asciiTheme="minorHAnsi" w:hAnsiTheme="minorHAnsi" w:cstheme="minorHAnsi"/>
        </w:rPr>
      </w:pPr>
    </w:p>
    <w:p w:rsidR="00362B35" w:rsidRPr="00362B35" w:rsidRDefault="00362B35" w:rsidP="00362B35">
      <w:pPr>
        <w:ind w:left="567"/>
        <w:jc w:val="both"/>
        <w:rPr>
          <w:rFonts w:asciiTheme="minorHAnsi" w:hAnsiTheme="minorHAnsi" w:cstheme="minorHAnsi"/>
        </w:rPr>
      </w:pPr>
      <w:r w:rsidRPr="00362B35">
        <w:rPr>
          <w:rFonts w:asciiTheme="minorHAnsi" w:hAnsiTheme="minorHAnsi" w:cstheme="minorHAnsi"/>
        </w:rPr>
        <w:t>The term ‘customer’ includes all those parties we consider to be receiving training, funding training, or receiving informa</w:t>
      </w:r>
      <w:r w:rsidR="00F07A64">
        <w:rPr>
          <w:rFonts w:asciiTheme="minorHAnsi" w:hAnsiTheme="minorHAnsi" w:cstheme="minorHAnsi"/>
        </w:rPr>
        <w:t>tion from Springboard</w:t>
      </w:r>
      <w:r w:rsidRPr="00362B35">
        <w:rPr>
          <w:rFonts w:asciiTheme="minorHAnsi" w:hAnsiTheme="minorHAnsi" w:cstheme="minorHAnsi"/>
        </w:rPr>
        <w:t xml:space="preserve">.  This includes </w:t>
      </w:r>
      <w:r>
        <w:rPr>
          <w:rFonts w:asciiTheme="minorHAnsi" w:hAnsiTheme="minorHAnsi" w:cstheme="minorHAnsi"/>
        </w:rPr>
        <w:t xml:space="preserve">learners, clients, funders and </w:t>
      </w:r>
      <w:r w:rsidRPr="00362B35">
        <w:rPr>
          <w:rFonts w:asciiTheme="minorHAnsi" w:hAnsiTheme="minorHAnsi" w:cstheme="minorHAnsi"/>
        </w:rPr>
        <w:t>training partners</w:t>
      </w:r>
    </w:p>
    <w:p w:rsidR="00362B35" w:rsidRPr="00362B35" w:rsidRDefault="00362B35" w:rsidP="00362B35">
      <w:pPr>
        <w:rPr>
          <w:rFonts w:asciiTheme="minorHAnsi" w:hAnsiTheme="minorHAnsi" w:cstheme="minorHAnsi"/>
        </w:rPr>
      </w:pPr>
    </w:p>
    <w:p w:rsidR="00362B35" w:rsidRPr="00362B35" w:rsidRDefault="00362B35" w:rsidP="00362B35">
      <w:pPr>
        <w:rPr>
          <w:rFonts w:asciiTheme="minorHAnsi" w:hAnsiTheme="minorHAnsi" w:cstheme="minorHAnsi"/>
          <w:b/>
        </w:rPr>
      </w:pPr>
      <w:r w:rsidRPr="00362B35">
        <w:rPr>
          <w:rFonts w:asciiTheme="minorHAnsi" w:hAnsiTheme="minorHAnsi" w:cstheme="minorHAnsi"/>
          <w:b/>
        </w:rPr>
        <w:t>2.</w:t>
      </w:r>
      <w:r w:rsidRPr="00362B35">
        <w:rPr>
          <w:rFonts w:asciiTheme="minorHAnsi" w:hAnsiTheme="minorHAnsi" w:cstheme="minorHAnsi"/>
          <w:b/>
        </w:rPr>
        <w:tab/>
        <w:t>Procedure</w:t>
      </w:r>
    </w:p>
    <w:p w:rsidR="00362B35" w:rsidRPr="00362B35" w:rsidRDefault="00362B35" w:rsidP="00362B35">
      <w:pPr>
        <w:rPr>
          <w:rFonts w:asciiTheme="minorHAnsi" w:hAnsiTheme="minorHAnsi" w:cstheme="minorHAnsi"/>
        </w:rPr>
      </w:pPr>
      <w:r w:rsidRPr="00362B35">
        <w:rPr>
          <w:rFonts w:asciiTheme="minorHAnsi" w:hAnsiTheme="minorHAnsi" w:cstheme="minorHAnsi"/>
        </w:rPr>
        <w:tab/>
      </w:r>
      <w:r w:rsidRPr="00362B35">
        <w:rPr>
          <w:rFonts w:asciiTheme="minorHAnsi" w:hAnsiTheme="minorHAnsi" w:cstheme="minorHAnsi"/>
        </w:rPr>
        <w:tab/>
      </w:r>
    </w:p>
    <w:p w:rsidR="00362B35" w:rsidRPr="00362B35" w:rsidRDefault="00362B35" w:rsidP="00362B35">
      <w:pPr>
        <w:ind w:left="1134" w:hanging="567"/>
        <w:rPr>
          <w:rFonts w:asciiTheme="minorHAnsi" w:hAnsiTheme="minorHAnsi" w:cstheme="minorHAnsi"/>
        </w:rPr>
      </w:pPr>
      <w:r w:rsidRPr="00362B35">
        <w:rPr>
          <w:rFonts w:asciiTheme="minorHAnsi" w:hAnsiTheme="minorHAnsi" w:cstheme="minorHAnsi"/>
        </w:rPr>
        <w:t>2.1</w:t>
      </w:r>
      <w:r w:rsidRPr="00362B35">
        <w:rPr>
          <w:rFonts w:asciiTheme="minorHAnsi" w:hAnsiTheme="minorHAnsi" w:cstheme="minorHAnsi"/>
        </w:rPr>
        <w:tab/>
        <w:t>Acknowledging a complaint</w:t>
      </w:r>
    </w:p>
    <w:p w:rsidR="00362B35" w:rsidRPr="00362B35" w:rsidRDefault="00362B35" w:rsidP="00362B35">
      <w:pPr>
        <w:ind w:left="1134" w:hanging="567"/>
        <w:rPr>
          <w:rFonts w:asciiTheme="minorHAnsi" w:hAnsiTheme="minorHAnsi" w:cstheme="minorHAnsi"/>
        </w:rPr>
      </w:pPr>
      <w:r w:rsidRPr="00362B35">
        <w:rPr>
          <w:rFonts w:asciiTheme="minorHAnsi" w:hAnsiTheme="minorHAnsi" w:cstheme="minorHAnsi"/>
        </w:rPr>
        <w:t>2.2</w:t>
      </w:r>
      <w:r w:rsidRPr="00362B35">
        <w:rPr>
          <w:rFonts w:asciiTheme="minorHAnsi" w:hAnsiTheme="minorHAnsi" w:cstheme="minorHAnsi"/>
        </w:rPr>
        <w:tab/>
        <w:t>Receiving the complaint</w:t>
      </w:r>
    </w:p>
    <w:p w:rsidR="00362B35" w:rsidRPr="00362B35" w:rsidRDefault="00362B35" w:rsidP="00362B35">
      <w:pPr>
        <w:ind w:left="1134" w:hanging="567"/>
        <w:rPr>
          <w:rFonts w:asciiTheme="minorHAnsi" w:hAnsiTheme="minorHAnsi" w:cstheme="minorHAnsi"/>
        </w:rPr>
      </w:pPr>
      <w:r w:rsidRPr="00362B35">
        <w:rPr>
          <w:rFonts w:asciiTheme="minorHAnsi" w:hAnsiTheme="minorHAnsi" w:cstheme="minorHAnsi"/>
        </w:rPr>
        <w:t>2.3</w:t>
      </w:r>
      <w:r w:rsidRPr="00362B35">
        <w:rPr>
          <w:rFonts w:asciiTheme="minorHAnsi" w:hAnsiTheme="minorHAnsi" w:cstheme="minorHAnsi"/>
        </w:rPr>
        <w:tab/>
        <w:t>Investigating the complaint</w:t>
      </w:r>
    </w:p>
    <w:p w:rsidR="00362B35" w:rsidRDefault="00362B35" w:rsidP="00362B35">
      <w:pPr>
        <w:ind w:left="1134" w:hanging="567"/>
        <w:rPr>
          <w:rFonts w:asciiTheme="minorHAnsi" w:hAnsiTheme="minorHAnsi" w:cstheme="minorHAnsi"/>
        </w:rPr>
      </w:pPr>
      <w:r w:rsidRPr="00362B35">
        <w:rPr>
          <w:rFonts w:asciiTheme="minorHAnsi" w:hAnsiTheme="minorHAnsi" w:cstheme="minorHAnsi"/>
        </w:rPr>
        <w:t>2.4</w:t>
      </w:r>
      <w:r w:rsidRPr="00362B35">
        <w:rPr>
          <w:rFonts w:asciiTheme="minorHAnsi" w:hAnsiTheme="minorHAnsi" w:cstheme="minorHAnsi"/>
        </w:rPr>
        <w:tab/>
        <w:t>Responding to the claimant</w:t>
      </w:r>
    </w:p>
    <w:p w:rsidR="00CB3B7E" w:rsidRPr="00362B35" w:rsidRDefault="00CB3B7E" w:rsidP="00362B35">
      <w:pPr>
        <w:ind w:left="1134" w:hanging="567"/>
        <w:rPr>
          <w:rFonts w:asciiTheme="minorHAnsi" w:hAnsiTheme="minorHAnsi" w:cstheme="minorHAnsi"/>
        </w:rPr>
      </w:pPr>
      <w:r>
        <w:rPr>
          <w:rFonts w:asciiTheme="minorHAnsi" w:hAnsiTheme="minorHAnsi" w:cstheme="minorHAnsi"/>
        </w:rPr>
        <w:t>2.5</w:t>
      </w:r>
      <w:r>
        <w:rPr>
          <w:rFonts w:asciiTheme="minorHAnsi" w:hAnsiTheme="minorHAnsi" w:cstheme="minorHAnsi"/>
        </w:rPr>
        <w:tab/>
        <w:t>Appeal</w:t>
      </w:r>
    </w:p>
    <w:p w:rsidR="00362B35" w:rsidRPr="00362B35" w:rsidRDefault="00362B35" w:rsidP="00362B35">
      <w:pPr>
        <w:ind w:left="1134" w:hanging="567"/>
        <w:rPr>
          <w:rFonts w:asciiTheme="minorHAnsi" w:hAnsiTheme="minorHAnsi" w:cstheme="minorHAnsi"/>
        </w:rPr>
      </w:pPr>
      <w:r w:rsidRPr="00362B35">
        <w:rPr>
          <w:rFonts w:asciiTheme="minorHAnsi" w:hAnsiTheme="minorHAnsi" w:cstheme="minorHAnsi"/>
        </w:rPr>
        <w:t>2.6</w:t>
      </w:r>
      <w:r w:rsidRPr="00362B35">
        <w:rPr>
          <w:rFonts w:asciiTheme="minorHAnsi" w:hAnsiTheme="minorHAnsi" w:cstheme="minorHAnsi"/>
        </w:rPr>
        <w:tab/>
        <w:t>Analysis of the complaint</w:t>
      </w:r>
    </w:p>
    <w:p w:rsidR="00362B35" w:rsidRPr="00362B35" w:rsidRDefault="00362B35" w:rsidP="00362B35">
      <w:pPr>
        <w:ind w:left="1134" w:hanging="567"/>
        <w:rPr>
          <w:rFonts w:asciiTheme="minorHAnsi" w:hAnsiTheme="minorHAnsi" w:cstheme="minorHAnsi"/>
        </w:rPr>
      </w:pPr>
      <w:r w:rsidRPr="00362B35">
        <w:rPr>
          <w:rFonts w:asciiTheme="minorHAnsi" w:hAnsiTheme="minorHAnsi" w:cstheme="minorHAnsi"/>
        </w:rPr>
        <w:t>2.7</w:t>
      </w:r>
      <w:r w:rsidRPr="00362B35">
        <w:rPr>
          <w:rFonts w:asciiTheme="minorHAnsi" w:hAnsiTheme="minorHAnsi" w:cstheme="minorHAnsi"/>
        </w:rPr>
        <w:tab/>
        <w:t>Verification of responsibility and preventative action</w:t>
      </w:r>
    </w:p>
    <w:p w:rsidR="00362B35" w:rsidRPr="00362B35" w:rsidRDefault="00362B35" w:rsidP="00362B35">
      <w:pPr>
        <w:ind w:left="1134" w:hanging="567"/>
        <w:rPr>
          <w:rFonts w:asciiTheme="minorHAnsi" w:hAnsiTheme="minorHAnsi" w:cstheme="minorHAnsi"/>
        </w:rPr>
      </w:pPr>
      <w:r w:rsidRPr="00362B35">
        <w:rPr>
          <w:rFonts w:asciiTheme="minorHAnsi" w:hAnsiTheme="minorHAnsi" w:cstheme="minorHAnsi"/>
        </w:rPr>
        <w:t>2.8</w:t>
      </w:r>
      <w:r w:rsidRPr="00362B35">
        <w:rPr>
          <w:rFonts w:asciiTheme="minorHAnsi" w:hAnsiTheme="minorHAnsi" w:cstheme="minorHAnsi"/>
        </w:rPr>
        <w:tab/>
        <w:t>Files and records</w:t>
      </w:r>
    </w:p>
    <w:p w:rsidR="00362B35" w:rsidRPr="00362B35" w:rsidRDefault="00362B35" w:rsidP="00362B35">
      <w:pPr>
        <w:spacing w:before="120" w:after="120"/>
        <w:rPr>
          <w:rFonts w:asciiTheme="minorHAnsi" w:hAnsiTheme="minorHAnsi" w:cstheme="minorHAnsi"/>
        </w:rPr>
      </w:pPr>
      <w:r w:rsidRPr="00362B35">
        <w:rPr>
          <w:rFonts w:asciiTheme="minorHAnsi" w:hAnsiTheme="minorHAnsi" w:cstheme="minorHAnsi"/>
        </w:rPr>
        <w:tab/>
      </w:r>
      <w:r w:rsidRPr="00362B35">
        <w:rPr>
          <w:rFonts w:asciiTheme="minorHAnsi" w:hAnsiTheme="minorHAnsi" w:cstheme="minorHAnsi"/>
        </w:rPr>
        <w:tab/>
      </w:r>
    </w:p>
    <w:p w:rsidR="00362B35" w:rsidRPr="00362B35" w:rsidRDefault="00362B35" w:rsidP="00362B35">
      <w:pPr>
        <w:rPr>
          <w:rFonts w:asciiTheme="minorHAnsi" w:hAnsiTheme="minorHAnsi" w:cstheme="minorHAnsi"/>
          <w:b/>
        </w:rPr>
      </w:pPr>
      <w:r w:rsidRPr="00362B35">
        <w:rPr>
          <w:rFonts w:asciiTheme="minorHAnsi" w:hAnsiTheme="minorHAnsi" w:cstheme="minorHAnsi"/>
          <w:b/>
        </w:rPr>
        <w:t>3.</w:t>
      </w:r>
      <w:r w:rsidRPr="00362B35">
        <w:rPr>
          <w:rFonts w:asciiTheme="minorHAnsi" w:hAnsiTheme="minorHAnsi" w:cstheme="minorHAnsi"/>
          <w:b/>
        </w:rPr>
        <w:tab/>
        <w:t>Responsibilities</w:t>
      </w:r>
    </w:p>
    <w:p w:rsidR="00362B35" w:rsidRPr="00362B35" w:rsidRDefault="00362B35" w:rsidP="00362B35">
      <w:pPr>
        <w:rPr>
          <w:rFonts w:asciiTheme="minorHAnsi" w:hAnsiTheme="minorHAnsi" w:cstheme="minorHAnsi"/>
        </w:rPr>
      </w:pPr>
    </w:p>
    <w:p w:rsidR="00362B35" w:rsidRPr="00362B35" w:rsidRDefault="00F07A64" w:rsidP="00F07A64">
      <w:pPr>
        <w:ind w:left="1134" w:hanging="567"/>
        <w:rPr>
          <w:rFonts w:asciiTheme="minorHAnsi" w:hAnsiTheme="minorHAnsi" w:cstheme="minorHAnsi"/>
        </w:rPr>
      </w:pPr>
      <w:r>
        <w:rPr>
          <w:rFonts w:asciiTheme="minorHAnsi" w:hAnsiTheme="minorHAnsi" w:cstheme="minorHAnsi"/>
        </w:rPr>
        <w:t xml:space="preserve">3.1 </w:t>
      </w:r>
      <w:r>
        <w:rPr>
          <w:rFonts w:asciiTheme="minorHAnsi" w:hAnsiTheme="minorHAnsi" w:cstheme="minorHAnsi"/>
        </w:rPr>
        <w:tab/>
        <w:t>SMT</w:t>
      </w:r>
    </w:p>
    <w:p w:rsidR="00362B35" w:rsidRPr="00362B35" w:rsidRDefault="00362B35" w:rsidP="00362B35">
      <w:pPr>
        <w:numPr>
          <w:ilvl w:val="0"/>
          <w:numId w:val="11"/>
        </w:numPr>
        <w:tabs>
          <w:tab w:val="num" w:pos="567"/>
        </w:tabs>
        <w:spacing w:before="360" w:after="240"/>
        <w:ind w:left="567" w:hanging="567"/>
        <w:rPr>
          <w:rFonts w:asciiTheme="minorHAnsi" w:hAnsiTheme="minorHAnsi" w:cstheme="minorHAnsi"/>
          <w:b/>
        </w:rPr>
      </w:pPr>
      <w:r w:rsidRPr="00362B35">
        <w:rPr>
          <w:rFonts w:asciiTheme="minorHAnsi" w:hAnsiTheme="minorHAnsi" w:cstheme="minorHAnsi"/>
          <w:b/>
        </w:rPr>
        <w:t>Procedure</w:t>
      </w:r>
    </w:p>
    <w:p w:rsidR="00362B35" w:rsidRPr="00362B35" w:rsidRDefault="00362B35" w:rsidP="00362B35">
      <w:pPr>
        <w:spacing w:before="120" w:after="120"/>
        <w:ind w:left="567"/>
        <w:jc w:val="both"/>
        <w:rPr>
          <w:rFonts w:asciiTheme="minorHAnsi" w:hAnsiTheme="minorHAnsi" w:cstheme="minorHAnsi"/>
          <w:b/>
        </w:rPr>
      </w:pPr>
      <w:r w:rsidRPr="00362B35">
        <w:rPr>
          <w:rFonts w:asciiTheme="minorHAnsi" w:hAnsiTheme="minorHAnsi" w:cstheme="minorHAnsi"/>
        </w:rPr>
        <w:t>Inevitably complaints will sometimes be m</w:t>
      </w:r>
      <w:r w:rsidR="00F07A64">
        <w:rPr>
          <w:rFonts w:asciiTheme="minorHAnsi" w:hAnsiTheme="minorHAnsi" w:cstheme="minorHAnsi"/>
        </w:rPr>
        <w:t>ade about Springboard</w:t>
      </w:r>
      <w:r w:rsidRPr="00362B35">
        <w:rPr>
          <w:rFonts w:asciiTheme="minorHAnsi" w:hAnsiTheme="minorHAnsi" w:cstheme="minorHAnsi"/>
        </w:rPr>
        <w:t>.  It is possible that these will range from the totally unjustifiable and over demanding to serious and substantial complaints about serious matters.  Wherever on this continuum the complaints fall they must be treated quickly and effectively and the complainant must be kept informed of who is dealing with the complaints and at what stage the process is</w:t>
      </w:r>
    </w:p>
    <w:p w:rsidR="00362B35" w:rsidRPr="00362B35" w:rsidRDefault="00362B35" w:rsidP="00362B35">
      <w:pPr>
        <w:numPr>
          <w:ilvl w:val="1"/>
          <w:numId w:val="11"/>
        </w:numPr>
        <w:tabs>
          <w:tab w:val="num" w:pos="1134"/>
        </w:tabs>
        <w:spacing w:before="120" w:after="120"/>
        <w:ind w:left="1134" w:hanging="567"/>
        <w:jc w:val="both"/>
        <w:rPr>
          <w:rFonts w:asciiTheme="minorHAnsi" w:hAnsiTheme="minorHAnsi" w:cstheme="minorHAnsi"/>
        </w:rPr>
      </w:pPr>
      <w:r w:rsidRPr="00362B35">
        <w:rPr>
          <w:rFonts w:asciiTheme="minorHAnsi" w:hAnsiTheme="minorHAnsi" w:cstheme="minorHAnsi"/>
        </w:rPr>
        <w:t>Acknowledging a complaint</w:t>
      </w:r>
    </w:p>
    <w:p w:rsidR="00362B35" w:rsidRP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 xml:space="preserve">Minor complaints may be dealt with orally in the first instance by the person receiving the complaint. If the plaintiff is not satisfied with the reply and wishes to take the matter further they should speak to the relevant line manager who will have already been informed about the complaint.  If still not satisfied the plaintiff should follow the procedure for serious complaints.  Any complaint </w:t>
      </w:r>
      <w:r w:rsidRPr="00362B35">
        <w:rPr>
          <w:rFonts w:asciiTheme="minorHAnsi" w:hAnsiTheme="minorHAnsi" w:cstheme="minorHAnsi"/>
        </w:rPr>
        <w:lastRenderedPageBreak/>
        <w:t>received in writing must be acknowledged by letter by the manager or appointed deputy</w:t>
      </w:r>
    </w:p>
    <w:p w:rsidR="00362B35" w:rsidRP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Serious complaints must be acknowledged in writing thanking the complainant for bringing the matter to our attention by the manager or appointed deputy.  Any letter sent to a complainant must be given a time scale by when they should expect to hear further.  This time scale must never be more than fourteen days.  All letters must also state what the complaint is understood to be and invite confirmation of this if appropriate</w:t>
      </w:r>
    </w:p>
    <w:p w:rsidR="00362B35" w:rsidRPr="00362B35" w:rsidRDefault="00362B35" w:rsidP="00362B35">
      <w:pPr>
        <w:numPr>
          <w:ilvl w:val="1"/>
          <w:numId w:val="11"/>
        </w:numPr>
        <w:tabs>
          <w:tab w:val="num" w:pos="1134"/>
        </w:tabs>
        <w:spacing w:before="120" w:after="120"/>
        <w:ind w:left="1134" w:hanging="567"/>
        <w:jc w:val="both"/>
        <w:rPr>
          <w:rFonts w:asciiTheme="minorHAnsi" w:hAnsiTheme="minorHAnsi" w:cstheme="minorHAnsi"/>
        </w:rPr>
      </w:pPr>
      <w:r w:rsidRPr="00362B35">
        <w:rPr>
          <w:rFonts w:asciiTheme="minorHAnsi" w:hAnsiTheme="minorHAnsi" w:cstheme="minorHAnsi"/>
        </w:rPr>
        <w:t>Receiving the Complaint</w:t>
      </w:r>
    </w:p>
    <w:p w:rsidR="00362B35" w:rsidRP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In all cases the person receiving the complaint shall report the matter immediately to his/her manager</w:t>
      </w:r>
    </w:p>
    <w:p w:rsidR="00362B35" w:rsidRPr="00362B35" w:rsidRDefault="00362B35" w:rsidP="00362B35">
      <w:pPr>
        <w:numPr>
          <w:ilvl w:val="1"/>
          <w:numId w:val="11"/>
        </w:numPr>
        <w:tabs>
          <w:tab w:val="num" w:pos="1134"/>
        </w:tabs>
        <w:spacing w:before="120" w:after="120"/>
        <w:ind w:left="1134" w:hanging="567"/>
        <w:jc w:val="both"/>
        <w:rPr>
          <w:rFonts w:asciiTheme="minorHAnsi" w:hAnsiTheme="minorHAnsi" w:cstheme="minorHAnsi"/>
        </w:rPr>
      </w:pPr>
      <w:r w:rsidRPr="00362B35">
        <w:rPr>
          <w:rFonts w:asciiTheme="minorHAnsi" w:hAnsiTheme="minorHAnsi" w:cstheme="minorHAnsi"/>
        </w:rPr>
        <w:t>Investigating the Complaint</w:t>
      </w:r>
    </w:p>
    <w:p w:rsidR="00362B35" w:rsidRP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Where it is necessary to make enquiries with other people to establish the facts of the complaint the name of the complainant shall not be revealed. The complaint must be investigated to as much depth as reasonably possible in order to ascertain the true facts of the matter.  The manager or appointed deputy is responsible for co-ordinating the investigation.</w:t>
      </w:r>
    </w:p>
    <w:p w:rsidR="00362B35" w:rsidRPr="00362B35" w:rsidRDefault="00362B35" w:rsidP="00362B35">
      <w:pPr>
        <w:numPr>
          <w:ilvl w:val="1"/>
          <w:numId w:val="11"/>
        </w:numPr>
        <w:tabs>
          <w:tab w:val="num" w:pos="1134"/>
        </w:tabs>
        <w:spacing w:before="120" w:after="120"/>
        <w:ind w:left="1134" w:hanging="567"/>
        <w:jc w:val="both"/>
        <w:rPr>
          <w:rFonts w:asciiTheme="minorHAnsi" w:hAnsiTheme="minorHAnsi" w:cstheme="minorHAnsi"/>
        </w:rPr>
      </w:pPr>
      <w:r w:rsidRPr="00362B35">
        <w:rPr>
          <w:rFonts w:asciiTheme="minorHAnsi" w:hAnsiTheme="minorHAnsi" w:cstheme="minorHAnsi"/>
        </w:rPr>
        <w:t>Responding to the Claimant</w:t>
      </w:r>
    </w:p>
    <w:p w:rsidR="00362B35" w:rsidRP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In serious cases when the facts of the matter are established a letter shall be sent to the complainant.  The letter must include:-</w:t>
      </w:r>
    </w:p>
    <w:p w:rsidR="00362B35" w:rsidRPr="00362B35" w:rsidRDefault="00362B35" w:rsidP="00362B35">
      <w:pPr>
        <w:numPr>
          <w:ilvl w:val="0"/>
          <w:numId w:val="12"/>
        </w:numPr>
        <w:tabs>
          <w:tab w:val="num" w:pos="1701"/>
        </w:tabs>
        <w:spacing w:before="120" w:after="120"/>
        <w:ind w:left="1701" w:hanging="567"/>
        <w:jc w:val="both"/>
        <w:rPr>
          <w:rFonts w:asciiTheme="minorHAnsi" w:hAnsiTheme="minorHAnsi" w:cstheme="minorHAnsi"/>
        </w:rPr>
      </w:pPr>
      <w:r w:rsidRPr="00362B35">
        <w:rPr>
          <w:rFonts w:asciiTheme="minorHAnsi" w:hAnsiTheme="minorHAnsi" w:cstheme="minorHAnsi"/>
        </w:rPr>
        <w:t>our findings as to the facts</w:t>
      </w:r>
    </w:p>
    <w:p w:rsidR="00362B35" w:rsidRPr="00362B35" w:rsidRDefault="00362B35" w:rsidP="00362B35">
      <w:pPr>
        <w:numPr>
          <w:ilvl w:val="0"/>
          <w:numId w:val="12"/>
        </w:numPr>
        <w:tabs>
          <w:tab w:val="num" w:pos="1701"/>
        </w:tabs>
        <w:spacing w:before="120" w:after="120"/>
        <w:ind w:left="1701" w:hanging="567"/>
        <w:jc w:val="both"/>
        <w:rPr>
          <w:rFonts w:asciiTheme="minorHAnsi" w:hAnsiTheme="minorHAnsi" w:cstheme="minorHAnsi"/>
        </w:rPr>
      </w:pPr>
      <w:r w:rsidRPr="00362B35">
        <w:rPr>
          <w:rFonts w:asciiTheme="minorHAnsi" w:hAnsiTheme="minorHAnsi" w:cstheme="minorHAnsi"/>
        </w:rPr>
        <w:t>our view about how justified the complaint is</w:t>
      </w:r>
    </w:p>
    <w:p w:rsidR="00362B35" w:rsidRPr="00362B35" w:rsidRDefault="00362B35" w:rsidP="00362B35">
      <w:pPr>
        <w:numPr>
          <w:ilvl w:val="0"/>
          <w:numId w:val="12"/>
        </w:numPr>
        <w:tabs>
          <w:tab w:val="num" w:pos="1701"/>
        </w:tabs>
        <w:spacing w:before="120" w:after="120"/>
        <w:ind w:left="1701" w:hanging="567"/>
        <w:jc w:val="both"/>
        <w:rPr>
          <w:rFonts w:asciiTheme="minorHAnsi" w:hAnsiTheme="minorHAnsi" w:cstheme="minorHAnsi"/>
        </w:rPr>
      </w:pPr>
      <w:r w:rsidRPr="00362B35">
        <w:rPr>
          <w:rFonts w:asciiTheme="minorHAnsi" w:hAnsiTheme="minorHAnsi" w:cstheme="minorHAnsi"/>
        </w:rPr>
        <w:t>the steps which have been and/or will be taken to prevent a repetition (this may include the suggestion of conciliation)</w:t>
      </w:r>
    </w:p>
    <w:p w:rsid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All letters to complainants purporting to settle complaints shall come from the centre manager or appointed deputy</w:t>
      </w:r>
    </w:p>
    <w:p w:rsidR="00CB3B7E" w:rsidRDefault="00CB3B7E" w:rsidP="00CB3B7E">
      <w:pPr>
        <w:spacing w:before="120" w:after="120"/>
        <w:ind w:firstLine="720"/>
        <w:jc w:val="both"/>
        <w:rPr>
          <w:rFonts w:asciiTheme="minorHAnsi" w:hAnsiTheme="minorHAnsi" w:cstheme="minorHAnsi"/>
        </w:rPr>
      </w:pPr>
      <w:r>
        <w:rPr>
          <w:rFonts w:asciiTheme="minorHAnsi" w:hAnsiTheme="minorHAnsi" w:cstheme="minorHAnsi"/>
        </w:rPr>
        <w:t>2.5 Appeal</w:t>
      </w:r>
    </w:p>
    <w:p w:rsidR="00CB3B7E" w:rsidRPr="00CB3B7E" w:rsidRDefault="00CB3B7E" w:rsidP="00CB3B7E">
      <w:pPr>
        <w:spacing w:before="280" w:after="120" w:line="300" w:lineRule="atLeast"/>
        <w:ind w:left="1134"/>
        <w:jc w:val="both"/>
        <w:outlineLvl w:val="1"/>
        <w:rPr>
          <w:rFonts w:asciiTheme="minorHAnsi" w:hAnsiTheme="minorHAnsi" w:cstheme="minorHAnsi"/>
          <w:color w:val="000000"/>
          <w:lang w:eastAsia="en-US"/>
        </w:rPr>
      </w:pPr>
      <w:r w:rsidRPr="00CB3B7E">
        <w:rPr>
          <w:rFonts w:asciiTheme="minorHAnsi" w:hAnsiTheme="minorHAnsi" w:cstheme="minorHAnsi"/>
          <w:color w:val="000000"/>
          <w:lang w:eastAsia="en-US"/>
        </w:rPr>
        <w:t>If the grievance has not been resolved to the complainant’s satisfaction they may appeal i</w:t>
      </w:r>
      <w:r w:rsidR="00F07A64">
        <w:rPr>
          <w:rFonts w:asciiTheme="minorHAnsi" w:hAnsiTheme="minorHAnsi" w:cstheme="minorHAnsi"/>
          <w:color w:val="000000"/>
          <w:lang w:eastAsia="en-US"/>
        </w:rPr>
        <w:t>n writing to the CEO</w:t>
      </w:r>
      <w:r w:rsidRPr="00CB3B7E">
        <w:rPr>
          <w:rFonts w:asciiTheme="minorHAnsi" w:hAnsiTheme="minorHAnsi" w:cstheme="minorHAnsi"/>
          <w:color w:val="000000"/>
          <w:lang w:eastAsia="en-US"/>
        </w:rPr>
        <w:t>, stating their full grounds of appeal, within one week of the date on which the letter was sent.</w:t>
      </w:r>
    </w:p>
    <w:p w:rsidR="00CB3B7E" w:rsidRPr="00362B35" w:rsidRDefault="00CB3B7E" w:rsidP="00362B35">
      <w:pPr>
        <w:spacing w:before="120" w:after="120"/>
        <w:ind w:left="1134"/>
        <w:jc w:val="both"/>
        <w:rPr>
          <w:rFonts w:asciiTheme="minorHAnsi" w:hAnsiTheme="minorHAnsi" w:cstheme="minorHAnsi"/>
        </w:rPr>
      </w:pPr>
    </w:p>
    <w:p w:rsidR="00362B35" w:rsidRPr="00CB3B7E" w:rsidRDefault="00CB3B7E" w:rsidP="00CB3B7E">
      <w:pPr>
        <w:tabs>
          <w:tab w:val="num" w:pos="1134"/>
        </w:tabs>
        <w:spacing w:before="120" w:after="120"/>
        <w:jc w:val="both"/>
        <w:rPr>
          <w:rFonts w:asciiTheme="minorHAnsi" w:hAnsiTheme="minorHAnsi" w:cstheme="minorHAnsi"/>
        </w:rPr>
      </w:pPr>
      <w:r>
        <w:rPr>
          <w:rFonts w:asciiTheme="minorHAnsi" w:hAnsiTheme="minorHAnsi" w:cstheme="minorHAnsi"/>
        </w:rPr>
        <w:t xml:space="preserve">             2.6</w:t>
      </w:r>
      <w:r>
        <w:rPr>
          <w:rFonts w:asciiTheme="minorHAnsi" w:hAnsiTheme="minorHAnsi" w:cstheme="minorHAnsi"/>
        </w:rPr>
        <w:tab/>
      </w:r>
      <w:r w:rsidR="00362B35" w:rsidRPr="00CB3B7E">
        <w:rPr>
          <w:rFonts w:asciiTheme="minorHAnsi" w:hAnsiTheme="minorHAnsi" w:cstheme="minorHAnsi"/>
        </w:rPr>
        <w:t>Analysis of the Complaint</w:t>
      </w:r>
    </w:p>
    <w:p w:rsidR="00362B35" w:rsidRP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The complaint must be analysed to take preventative actions wherever possible to try and stop the same or a similar situation arising again</w:t>
      </w:r>
    </w:p>
    <w:p w:rsidR="00362B35" w:rsidRP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Every complaint must have a record of what preventative actions have been considered and implemented. The manager or appointed deputy is responsible for performing and recording this analysis</w:t>
      </w:r>
    </w:p>
    <w:p w:rsidR="00362B35" w:rsidRPr="00CB3B7E" w:rsidRDefault="00CB3B7E" w:rsidP="00CB3B7E">
      <w:pPr>
        <w:tabs>
          <w:tab w:val="num" w:pos="1134"/>
        </w:tabs>
        <w:spacing w:before="120" w:after="120"/>
        <w:jc w:val="both"/>
        <w:rPr>
          <w:rFonts w:asciiTheme="minorHAnsi" w:hAnsiTheme="minorHAnsi" w:cstheme="minorHAnsi"/>
        </w:rPr>
      </w:pPr>
      <w:r>
        <w:rPr>
          <w:rFonts w:asciiTheme="minorHAnsi" w:hAnsiTheme="minorHAnsi" w:cstheme="minorHAnsi"/>
        </w:rPr>
        <w:lastRenderedPageBreak/>
        <w:t xml:space="preserve">              2.7</w:t>
      </w:r>
      <w:r>
        <w:rPr>
          <w:rFonts w:asciiTheme="minorHAnsi" w:hAnsiTheme="minorHAnsi" w:cstheme="minorHAnsi"/>
        </w:rPr>
        <w:tab/>
      </w:r>
      <w:r w:rsidRPr="00CB3B7E">
        <w:rPr>
          <w:rFonts w:asciiTheme="minorHAnsi" w:hAnsiTheme="minorHAnsi" w:cstheme="minorHAnsi"/>
        </w:rPr>
        <w:t xml:space="preserve"> </w:t>
      </w:r>
      <w:r w:rsidR="00362B35" w:rsidRPr="00CB3B7E">
        <w:rPr>
          <w:rFonts w:asciiTheme="minorHAnsi" w:hAnsiTheme="minorHAnsi" w:cstheme="minorHAnsi"/>
        </w:rPr>
        <w:t>Verification of Responsive and Preventative Action</w:t>
      </w:r>
    </w:p>
    <w:p w:rsidR="00362B35" w:rsidRP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Any responsive and preventative action shall be assessed after a reasonable period of time to evaluate the need for further action</w:t>
      </w:r>
    </w:p>
    <w:p w:rsidR="00362B35" w:rsidRPr="00362B35" w:rsidRDefault="00362B35" w:rsidP="00362B35">
      <w:pPr>
        <w:spacing w:before="120" w:after="120"/>
        <w:ind w:left="1134"/>
        <w:jc w:val="both"/>
        <w:rPr>
          <w:rFonts w:asciiTheme="minorHAnsi" w:hAnsiTheme="minorHAnsi" w:cstheme="minorHAnsi"/>
        </w:rPr>
      </w:pPr>
    </w:p>
    <w:p w:rsidR="00362B35" w:rsidRPr="00362B35" w:rsidRDefault="00CB3B7E" w:rsidP="00CB3B7E">
      <w:pPr>
        <w:tabs>
          <w:tab w:val="num" w:pos="1134"/>
        </w:tabs>
        <w:spacing w:before="120" w:after="120"/>
        <w:jc w:val="both"/>
        <w:rPr>
          <w:rFonts w:asciiTheme="minorHAnsi" w:hAnsiTheme="minorHAnsi" w:cstheme="minorHAnsi"/>
        </w:rPr>
      </w:pPr>
      <w:r>
        <w:rPr>
          <w:rFonts w:asciiTheme="minorHAnsi" w:hAnsiTheme="minorHAnsi" w:cstheme="minorHAnsi"/>
        </w:rPr>
        <w:t xml:space="preserve">             2.8 </w:t>
      </w:r>
      <w:r w:rsidR="00362B35" w:rsidRPr="00362B35">
        <w:rPr>
          <w:rFonts w:asciiTheme="minorHAnsi" w:hAnsiTheme="minorHAnsi" w:cstheme="minorHAnsi"/>
        </w:rPr>
        <w:t>Files and Records</w:t>
      </w:r>
    </w:p>
    <w:p w:rsidR="00362B35" w:rsidRPr="00362B35" w:rsidRDefault="00362B35" w:rsidP="00362B35">
      <w:pPr>
        <w:spacing w:before="120" w:after="120"/>
        <w:ind w:left="1134"/>
        <w:jc w:val="both"/>
        <w:rPr>
          <w:rFonts w:asciiTheme="minorHAnsi" w:hAnsiTheme="minorHAnsi" w:cstheme="minorHAnsi"/>
        </w:rPr>
      </w:pPr>
      <w:r w:rsidRPr="00362B35">
        <w:rPr>
          <w:rFonts w:asciiTheme="minorHAnsi" w:hAnsiTheme="minorHAnsi" w:cstheme="minorHAnsi"/>
        </w:rPr>
        <w:t>A log of all complaints is maintained by the relevant manager using the complaints form. Any corresponding documentation should be kept with this record. These records will be kept in the appropriate base by the manager</w:t>
      </w:r>
    </w:p>
    <w:p w:rsidR="00362B35" w:rsidRPr="00362B35" w:rsidRDefault="00362B35" w:rsidP="00362B35">
      <w:pPr>
        <w:spacing w:before="120" w:after="120"/>
        <w:ind w:left="1854"/>
        <w:rPr>
          <w:rFonts w:asciiTheme="minorHAnsi" w:hAnsiTheme="minorHAnsi" w:cstheme="minorHAnsi"/>
        </w:rPr>
      </w:pPr>
      <w:r w:rsidRPr="00362B35">
        <w:rPr>
          <w:rFonts w:asciiTheme="minorHAnsi" w:hAnsiTheme="minorHAnsi" w:cstheme="minorHAnsi"/>
        </w:rPr>
        <w:tab/>
      </w:r>
    </w:p>
    <w:p w:rsidR="00362B35" w:rsidRPr="00362B35" w:rsidRDefault="00362B35" w:rsidP="00362B35">
      <w:pPr>
        <w:tabs>
          <w:tab w:val="center" w:pos="4320"/>
          <w:tab w:val="right" w:pos="8640"/>
        </w:tabs>
        <w:spacing w:before="60" w:after="60"/>
        <w:jc w:val="center"/>
        <w:rPr>
          <w:rFonts w:asciiTheme="minorHAnsi" w:hAnsiTheme="minorHAnsi" w:cstheme="minorHAnsi"/>
        </w:rPr>
      </w:pPr>
    </w:p>
    <w:p w:rsidR="00362B35" w:rsidRPr="00362B35" w:rsidRDefault="00362B35" w:rsidP="00362B35">
      <w:pPr>
        <w:tabs>
          <w:tab w:val="center" w:pos="4320"/>
          <w:tab w:val="right" w:pos="8640"/>
        </w:tabs>
        <w:spacing w:before="60" w:after="60"/>
        <w:jc w:val="center"/>
        <w:rPr>
          <w:rFonts w:ascii="Arial" w:hAnsi="Arial" w:cs="Arial"/>
          <w:sz w:val="16"/>
          <w:szCs w:val="16"/>
        </w:rPr>
      </w:pPr>
    </w:p>
    <w:p w:rsidR="009F7365" w:rsidRPr="00CC3B1A" w:rsidRDefault="009F7365" w:rsidP="009F7365">
      <w:pPr>
        <w:rPr>
          <w:rFonts w:ascii="Calibri" w:hAnsi="Calibri" w:cs="Calibri"/>
          <w:b/>
          <w:sz w:val="22"/>
          <w:szCs w:val="22"/>
        </w:rPr>
      </w:pPr>
    </w:p>
    <w:p w:rsidR="009F7365" w:rsidRDefault="009F7365"/>
    <w:p w:rsidR="009F7365" w:rsidRDefault="009F7365"/>
    <w:p w:rsidR="009F7365" w:rsidRPr="009F7365" w:rsidRDefault="009F7365" w:rsidP="009F7365">
      <w:pPr>
        <w:pStyle w:val="Footer"/>
        <w:pBdr>
          <w:top w:val="single" w:sz="4" w:space="1" w:color="auto"/>
          <w:left w:val="single" w:sz="4" w:space="4" w:color="auto"/>
          <w:bottom w:val="single" w:sz="4" w:space="1" w:color="auto"/>
          <w:right w:val="single" w:sz="4" w:space="4" w:color="auto"/>
        </w:pBdr>
        <w:spacing w:before="60" w:after="60"/>
        <w:rPr>
          <w:rFonts w:ascii="Calibri" w:hAnsi="Calibri" w:cs="Calibri"/>
          <w:sz w:val="16"/>
          <w:szCs w:val="16"/>
        </w:rPr>
      </w:pPr>
      <w:r>
        <w:rPr>
          <w:rFonts w:ascii="Calibri" w:hAnsi="Calibri" w:cs="Calibri"/>
          <w:sz w:val="22"/>
          <w:szCs w:val="22"/>
        </w:rPr>
        <w:tab/>
      </w:r>
      <w:r w:rsidRPr="009F7365">
        <w:rPr>
          <w:rFonts w:ascii="Calibri" w:hAnsi="Calibri" w:cs="Calibri"/>
          <w:sz w:val="16"/>
          <w:szCs w:val="16"/>
        </w:rPr>
        <w:t xml:space="preserve">© Springboard Sunderland Trust </w:t>
      </w:r>
    </w:p>
    <w:p w:rsidR="009F7365" w:rsidRPr="009F7365" w:rsidRDefault="009F7365" w:rsidP="009F7365">
      <w:pPr>
        <w:pStyle w:val="Footer"/>
        <w:pBdr>
          <w:top w:val="single" w:sz="4" w:space="1" w:color="auto"/>
          <w:left w:val="single" w:sz="4" w:space="4" w:color="auto"/>
          <w:bottom w:val="single" w:sz="4" w:space="1" w:color="auto"/>
          <w:right w:val="single" w:sz="4" w:space="4" w:color="auto"/>
        </w:pBdr>
        <w:spacing w:before="60" w:after="60"/>
        <w:jc w:val="center"/>
        <w:rPr>
          <w:rFonts w:ascii="Calibri" w:hAnsi="Calibri" w:cs="Calibri"/>
          <w:sz w:val="16"/>
          <w:szCs w:val="16"/>
        </w:rPr>
      </w:pPr>
      <w:r w:rsidRPr="009F7365">
        <w:rPr>
          <w:rFonts w:ascii="Calibri" w:hAnsi="Calibri" w:cs="Calibri"/>
          <w:sz w:val="16"/>
          <w:szCs w:val="16"/>
        </w:rPr>
        <w:t>All rights reserved.</w:t>
      </w:r>
    </w:p>
    <w:p w:rsidR="009F7365" w:rsidRPr="009F7365" w:rsidRDefault="009F7365" w:rsidP="009F7365">
      <w:pPr>
        <w:pStyle w:val="Footer"/>
        <w:pBdr>
          <w:top w:val="single" w:sz="4" w:space="1" w:color="auto"/>
          <w:left w:val="single" w:sz="4" w:space="4" w:color="auto"/>
          <w:bottom w:val="single" w:sz="4" w:space="1" w:color="auto"/>
          <w:right w:val="single" w:sz="4" w:space="4" w:color="auto"/>
        </w:pBdr>
        <w:spacing w:before="60" w:after="60"/>
        <w:jc w:val="center"/>
        <w:rPr>
          <w:rFonts w:ascii="Calibri" w:hAnsi="Calibri" w:cs="Calibri"/>
          <w:sz w:val="16"/>
          <w:szCs w:val="16"/>
        </w:rPr>
      </w:pPr>
      <w:r w:rsidRPr="009F7365">
        <w:rPr>
          <w:rFonts w:ascii="Calibri" w:hAnsi="Calibri" w:cs="Calibri"/>
          <w:sz w:val="16"/>
          <w:szCs w:val="16"/>
        </w:rPr>
        <w:t xml:space="preserve">No copies or part copy of this document shall be made without the express permission of </w:t>
      </w:r>
    </w:p>
    <w:p w:rsidR="009F7365" w:rsidRPr="009F7365" w:rsidRDefault="009F7365" w:rsidP="009F7365">
      <w:pPr>
        <w:pStyle w:val="Footer"/>
        <w:pBdr>
          <w:top w:val="single" w:sz="4" w:space="1" w:color="auto"/>
          <w:left w:val="single" w:sz="4" w:space="4" w:color="auto"/>
          <w:bottom w:val="single" w:sz="4" w:space="1" w:color="auto"/>
          <w:right w:val="single" w:sz="4" w:space="4" w:color="auto"/>
        </w:pBdr>
        <w:spacing w:before="60" w:after="60"/>
        <w:jc w:val="center"/>
        <w:rPr>
          <w:rFonts w:ascii="Calibri" w:hAnsi="Calibri" w:cs="Calibri"/>
          <w:sz w:val="16"/>
          <w:szCs w:val="16"/>
        </w:rPr>
      </w:pPr>
      <w:r w:rsidRPr="009F7365">
        <w:rPr>
          <w:rFonts w:ascii="Calibri" w:hAnsi="Calibri" w:cs="Calibri"/>
          <w:sz w:val="16"/>
          <w:szCs w:val="16"/>
        </w:rPr>
        <w:t>Springboard Sunderland Trust</w:t>
      </w:r>
    </w:p>
    <w:p w:rsidR="009F7365" w:rsidRPr="009F7365" w:rsidRDefault="009F7365" w:rsidP="009F7365">
      <w:pPr>
        <w:pStyle w:val="Footer"/>
        <w:pBdr>
          <w:top w:val="single" w:sz="4" w:space="1" w:color="auto"/>
          <w:left w:val="single" w:sz="4" w:space="4" w:color="auto"/>
          <w:bottom w:val="single" w:sz="4" w:space="1" w:color="auto"/>
          <w:right w:val="single" w:sz="4" w:space="4" w:color="auto"/>
        </w:pBdr>
        <w:spacing w:before="60" w:after="60"/>
        <w:jc w:val="center"/>
        <w:rPr>
          <w:rFonts w:ascii="Calibri" w:hAnsi="Calibri" w:cs="Calibri"/>
          <w:sz w:val="16"/>
          <w:szCs w:val="16"/>
        </w:rPr>
      </w:pPr>
      <w:r w:rsidRPr="009F7365">
        <w:rPr>
          <w:rFonts w:ascii="Calibri" w:hAnsi="Calibri" w:cs="Calibri"/>
          <w:sz w:val="16"/>
          <w:szCs w:val="16"/>
        </w:rPr>
        <w:t>Rivergreen Industry Centre</w:t>
      </w:r>
    </w:p>
    <w:p w:rsidR="009F7365" w:rsidRPr="009F7365" w:rsidRDefault="009F7365" w:rsidP="009F7365">
      <w:pPr>
        <w:pStyle w:val="Footer"/>
        <w:pBdr>
          <w:top w:val="single" w:sz="4" w:space="1" w:color="auto"/>
          <w:left w:val="single" w:sz="4" w:space="4" w:color="auto"/>
          <w:bottom w:val="single" w:sz="4" w:space="1" w:color="auto"/>
          <w:right w:val="single" w:sz="4" w:space="4" w:color="auto"/>
        </w:pBdr>
        <w:spacing w:before="60" w:after="60"/>
        <w:jc w:val="center"/>
        <w:rPr>
          <w:rFonts w:ascii="Calibri" w:hAnsi="Calibri" w:cs="Calibri"/>
          <w:sz w:val="16"/>
          <w:szCs w:val="16"/>
        </w:rPr>
      </w:pPr>
      <w:r w:rsidRPr="009F7365">
        <w:rPr>
          <w:rFonts w:ascii="Calibri" w:hAnsi="Calibri" w:cs="Calibri"/>
          <w:sz w:val="16"/>
          <w:szCs w:val="16"/>
        </w:rPr>
        <w:t>Pallion</w:t>
      </w:r>
    </w:p>
    <w:p w:rsidR="009F7365" w:rsidRPr="009F7365" w:rsidRDefault="009F7365" w:rsidP="009F7365">
      <w:pPr>
        <w:pStyle w:val="Footer"/>
        <w:pBdr>
          <w:top w:val="single" w:sz="4" w:space="1" w:color="auto"/>
          <w:left w:val="single" w:sz="4" w:space="4" w:color="auto"/>
          <w:bottom w:val="single" w:sz="4" w:space="1" w:color="auto"/>
          <w:right w:val="single" w:sz="4" w:space="4" w:color="auto"/>
        </w:pBdr>
        <w:spacing w:before="60" w:after="60"/>
        <w:jc w:val="center"/>
        <w:rPr>
          <w:rFonts w:ascii="Calibri" w:hAnsi="Calibri" w:cs="Calibri"/>
          <w:sz w:val="16"/>
          <w:szCs w:val="16"/>
        </w:rPr>
      </w:pPr>
      <w:r w:rsidRPr="009F7365">
        <w:rPr>
          <w:rFonts w:ascii="Calibri" w:hAnsi="Calibri" w:cs="Calibri"/>
          <w:sz w:val="16"/>
          <w:szCs w:val="16"/>
        </w:rPr>
        <w:t>Sunderland</w:t>
      </w:r>
    </w:p>
    <w:p w:rsidR="009F7365" w:rsidRPr="009F7365" w:rsidRDefault="009F7365" w:rsidP="009F7365">
      <w:pPr>
        <w:pStyle w:val="Footer"/>
        <w:pBdr>
          <w:top w:val="single" w:sz="4" w:space="1" w:color="auto"/>
          <w:left w:val="single" w:sz="4" w:space="4" w:color="auto"/>
          <w:bottom w:val="single" w:sz="4" w:space="1" w:color="auto"/>
          <w:right w:val="single" w:sz="4" w:space="4" w:color="auto"/>
        </w:pBdr>
        <w:spacing w:before="60" w:after="60"/>
        <w:jc w:val="center"/>
        <w:rPr>
          <w:rFonts w:ascii="Calibri" w:hAnsi="Calibri" w:cs="Calibri"/>
          <w:sz w:val="16"/>
          <w:szCs w:val="16"/>
        </w:rPr>
      </w:pPr>
      <w:r w:rsidRPr="009F7365">
        <w:rPr>
          <w:rFonts w:ascii="Calibri" w:hAnsi="Calibri" w:cs="Calibri"/>
          <w:sz w:val="16"/>
          <w:szCs w:val="16"/>
        </w:rPr>
        <w:t>SR4 6AD</w:t>
      </w:r>
    </w:p>
    <w:p w:rsidR="009F7365" w:rsidRPr="009F7365" w:rsidRDefault="009F7365" w:rsidP="009F7365">
      <w:pPr>
        <w:pBdr>
          <w:top w:val="single" w:sz="4" w:space="1" w:color="auto"/>
          <w:left w:val="single" w:sz="4" w:space="4" w:color="auto"/>
          <w:bottom w:val="single" w:sz="4" w:space="1" w:color="auto"/>
          <w:right w:val="single" w:sz="4" w:space="4" w:color="auto"/>
        </w:pBdr>
        <w:jc w:val="center"/>
        <w:rPr>
          <w:rFonts w:ascii="Calibri" w:hAnsi="Calibri" w:cs="Calibri"/>
          <w:sz w:val="16"/>
          <w:szCs w:val="16"/>
        </w:rPr>
      </w:pPr>
      <w:r w:rsidRPr="009F7365">
        <w:rPr>
          <w:rFonts w:ascii="Calibri" w:hAnsi="Calibri" w:cs="Calibri"/>
          <w:sz w:val="16"/>
          <w:szCs w:val="16"/>
        </w:rPr>
        <w:t>Tel: (0191) 5155300</w:t>
      </w:r>
    </w:p>
    <w:p w:rsidR="009F7365" w:rsidRDefault="009F7365"/>
    <w:sectPr w:rsidR="009F73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65" w:rsidRDefault="009F7365" w:rsidP="009F7365">
      <w:r>
        <w:separator/>
      </w:r>
    </w:p>
  </w:endnote>
  <w:endnote w:type="continuationSeparator" w:id="0">
    <w:p w:rsidR="009F7365" w:rsidRDefault="009F7365" w:rsidP="009F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65" w:rsidRPr="009F7365" w:rsidRDefault="00F07A64" w:rsidP="009F7365">
    <w:pPr>
      <w:tabs>
        <w:tab w:val="center" w:pos="4153"/>
        <w:tab w:val="right" w:pos="8306"/>
      </w:tabs>
      <w:jc w:val="both"/>
      <w:rPr>
        <w:rFonts w:asciiTheme="minorHAnsi" w:hAnsiTheme="minorHAnsi" w:cstheme="minorHAnsi"/>
        <w:sz w:val="16"/>
        <w:szCs w:val="16"/>
        <w:lang w:eastAsia="en-US"/>
      </w:rPr>
    </w:pPr>
    <w:r>
      <w:rPr>
        <w:rFonts w:asciiTheme="minorHAnsi" w:hAnsiTheme="minorHAnsi" w:cstheme="minorHAnsi"/>
        <w:sz w:val="16"/>
        <w:szCs w:val="16"/>
        <w:lang w:eastAsia="en-US"/>
      </w:rPr>
      <w:t>March</w:t>
    </w:r>
    <w:r w:rsidR="000D7D98">
      <w:rPr>
        <w:rFonts w:asciiTheme="minorHAnsi" w:hAnsiTheme="minorHAnsi" w:cstheme="minorHAnsi"/>
        <w:sz w:val="16"/>
        <w:szCs w:val="16"/>
        <w:lang w:eastAsia="en-US"/>
      </w:rPr>
      <w:t xml:space="preserve"> </w:t>
    </w:r>
    <w:r>
      <w:rPr>
        <w:rFonts w:asciiTheme="minorHAnsi" w:hAnsiTheme="minorHAnsi" w:cstheme="minorHAnsi"/>
        <w:sz w:val="16"/>
        <w:szCs w:val="16"/>
        <w:lang w:eastAsia="en-US"/>
      </w:rPr>
      <w:t>2018</w:t>
    </w:r>
  </w:p>
  <w:p w:rsidR="009F7365" w:rsidRPr="009F7365" w:rsidRDefault="0096133D" w:rsidP="009F7365">
    <w:pPr>
      <w:tabs>
        <w:tab w:val="center" w:pos="4153"/>
        <w:tab w:val="right" w:pos="8306"/>
      </w:tabs>
      <w:jc w:val="both"/>
      <w:rPr>
        <w:rFonts w:asciiTheme="minorHAnsi" w:hAnsiTheme="minorHAnsi" w:cstheme="minorHAnsi"/>
        <w:sz w:val="16"/>
        <w:szCs w:val="16"/>
        <w:lang w:eastAsia="en-US"/>
      </w:rPr>
    </w:pPr>
    <w:r>
      <w:rPr>
        <w:rFonts w:asciiTheme="minorHAnsi" w:hAnsiTheme="minorHAnsi" w:cstheme="minorHAnsi"/>
        <w:sz w:val="16"/>
        <w:szCs w:val="16"/>
        <w:lang w:eastAsia="en-US"/>
      </w:rPr>
      <w:t>Review 2020</w:t>
    </w:r>
    <w:r>
      <w:rPr>
        <w:rFonts w:asciiTheme="minorHAnsi" w:hAnsiTheme="minorHAnsi" w:cstheme="minorHAnsi"/>
        <w:sz w:val="16"/>
        <w:szCs w:val="16"/>
        <w:lang w:eastAsia="en-US"/>
      </w:rPr>
      <w:tab/>
      <w:t>FAM 4</w:t>
    </w:r>
    <w:r w:rsidR="00F07A64">
      <w:rPr>
        <w:rFonts w:asciiTheme="minorHAnsi" w:hAnsiTheme="minorHAnsi" w:cstheme="minorHAnsi"/>
        <w:sz w:val="16"/>
        <w:szCs w:val="16"/>
        <w:lang w:eastAsia="en-US"/>
      </w:rPr>
      <w:t>/09</w:t>
    </w:r>
    <w:r w:rsidR="009F7365" w:rsidRPr="009F7365">
      <w:rPr>
        <w:rFonts w:asciiTheme="minorHAnsi" w:hAnsiTheme="minorHAnsi" w:cstheme="minorHAnsi"/>
        <w:sz w:val="16"/>
        <w:szCs w:val="16"/>
        <w:lang w:eastAsia="en-US"/>
      </w:rPr>
      <w:tab/>
      <w:t xml:space="preserve">    Page </w:t>
    </w:r>
    <w:r w:rsidR="009F7365" w:rsidRPr="009F7365">
      <w:rPr>
        <w:rFonts w:asciiTheme="minorHAnsi" w:hAnsiTheme="minorHAnsi" w:cstheme="minorHAnsi"/>
        <w:sz w:val="16"/>
        <w:szCs w:val="16"/>
        <w:lang w:eastAsia="en-US"/>
      </w:rPr>
      <w:fldChar w:fldCharType="begin"/>
    </w:r>
    <w:r w:rsidR="009F7365" w:rsidRPr="009F7365">
      <w:rPr>
        <w:rFonts w:asciiTheme="minorHAnsi" w:hAnsiTheme="minorHAnsi" w:cstheme="minorHAnsi"/>
        <w:sz w:val="16"/>
        <w:szCs w:val="16"/>
        <w:lang w:eastAsia="en-US"/>
      </w:rPr>
      <w:instrText xml:space="preserve"> PAGE </w:instrText>
    </w:r>
    <w:r w:rsidR="009F7365" w:rsidRPr="009F7365">
      <w:rPr>
        <w:rFonts w:asciiTheme="minorHAnsi" w:hAnsiTheme="minorHAnsi" w:cstheme="minorHAnsi"/>
        <w:sz w:val="16"/>
        <w:szCs w:val="16"/>
        <w:lang w:eastAsia="en-US"/>
      </w:rPr>
      <w:fldChar w:fldCharType="separate"/>
    </w:r>
    <w:r w:rsidR="007A43DC">
      <w:rPr>
        <w:rFonts w:asciiTheme="minorHAnsi" w:hAnsiTheme="minorHAnsi" w:cstheme="minorHAnsi"/>
        <w:noProof/>
        <w:sz w:val="16"/>
        <w:szCs w:val="16"/>
        <w:lang w:eastAsia="en-US"/>
      </w:rPr>
      <w:t>1</w:t>
    </w:r>
    <w:r w:rsidR="009F7365" w:rsidRPr="009F7365">
      <w:rPr>
        <w:rFonts w:asciiTheme="minorHAnsi" w:hAnsiTheme="minorHAnsi" w:cstheme="minorHAnsi"/>
        <w:sz w:val="16"/>
        <w:szCs w:val="16"/>
        <w:lang w:eastAsia="en-US"/>
      </w:rPr>
      <w:fldChar w:fldCharType="end"/>
    </w:r>
    <w:r w:rsidR="009F7365" w:rsidRPr="009F7365">
      <w:rPr>
        <w:rFonts w:asciiTheme="minorHAnsi" w:hAnsiTheme="minorHAnsi" w:cstheme="minorHAnsi"/>
        <w:sz w:val="16"/>
        <w:szCs w:val="16"/>
        <w:lang w:eastAsia="en-US"/>
      </w:rPr>
      <w:t xml:space="preserve"> of </w:t>
    </w:r>
    <w:r w:rsidR="009F7365" w:rsidRPr="009F7365">
      <w:rPr>
        <w:rFonts w:asciiTheme="minorHAnsi" w:hAnsiTheme="minorHAnsi" w:cstheme="minorHAnsi"/>
        <w:sz w:val="16"/>
        <w:szCs w:val="16"/>
        <w:lang w:eastAsia="en-US"/>
      </w:rPr>
      <w:fldChar w:fldCharType="begin"/>
    </w:r>
    <w:r w:rsidR="009F7365" w:rsidRPr="009F7365">
      <w:rPr>
        <w:rFonts w:asciiTheme="minorHAnsi" w:hAnsiTheme="minorHAnsi" w:cstheme="minorHAnsi"/>
        <w:sz w:val="16"/>
        <w:szCs w:val="16"/>
        <w:lang w:eastAsia="en-US"/>
      </w:rPr>
      <w:instrText xml:space="preserve"> NUMPAGES </w:instrText>
    </w:r>
    <w:r w:rsidR="009F7365" w:rsidRPr="009F7365">
      <w:rPr>
        <w:rFonts w:asciiTheme="minorHAnsi" w:hAnsiTheme="minorHAnsi" w:cstheme="minorHAnsi"/>
        <w:sz w:val="16"/>
        <w:szCs w:val="16"/>
        <w:lang w:eastAsia="en-US"/>
      </w:rPr>
      <w:fldChar w:fldCharType="separate"/>
    </w:r>
    <w:r w:rsidR="007A43DC">
      <w:rPr>
        <w:rFonts w:asciiTheme="minorHAnsi" w:hAnsiTheme="minorHAnsi" w:cstheme="minorHAnsi"/>
        <w:noProof/>
        <w:sz w:val="16"/>
        <w:szCs w:val="16"/>
        <w:lang w:eastAsia="en-US"/>
      </w:rPr>
      <w:t>3</w:t>
    </w:r>
    <w:r w:rsidR="009F7365" w:rsidRPr="009F7365">
      <w:rPr>
        <w:rFonts w:asciiTheme="minorHAnsi" w:hAnsiTheme="minorHAnsi" w:cstheme="minorHAnsi"/>
        <w:sz w:val="16"/>
        <w:szCs w:val="16"/>
        <w:lang w:eastAsia="en-US"/>
      </w:rPr>
      <w:fldChar w:fldCharType="end"/>
    </w:r>
  </w:p>
  <w:p w:rsidR="009F7365" w:rsidRPr="009F7365" w:rsidRDefault="009F7365" w:rsidP="009F7365">
    <w:pPr>
      <w:tabs>
        <w:tab w:val="center" w:pos="4153"/>
        <w:tab w:val="right" w:pos="8306"/>
      </w:tabs>
      <w:jc w:val="both"/>
      <w:rPr>
        <w:rFonts w:asciiTheme="minorHAnsi" w:hAnsiTheme="minorHAnsi" w:cstheme="minorHAnsi"/>
        <w:sz w:val="22"/>
        <w:szCs w:val="20"/>
        <w:lang w:eastAsia="en-US"/>
      </w:rPr>
    </w:pPr>
  </w:p>
  <w:p w:rsidR="009F7365" w:rsidRDefault="009F7365">
    <w:pPr>
      <w:pStyle w:val="Footer"/>
    </w:pPr>
  </w:p>
  <w:p w:rsidR="009F7365" w:rsidRDefault="009F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65" w:rsidRDefault="009F7365" w:rsidP="009F7365">
      <w:r>
        <w:separator/>
      </w:r>
    </w:p>
  </w:footnote>
  <w:footnote w:type="continuationSeparator" w:id="0">
    <w:p w:rsidR="009F7365" w:rsidRDefault="009F7365" w:rsidP="009F7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178"/>
    <w:multiLevelType w:val="hybridMultilevel"/>
    <w:tmpl w:val="5B5C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450283"/>
    <w:multiLevelType w:val="multilevel"/>
    <w:tmpl w:val="10BC57A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7009E6"/>
    <w:multiLevelType w:val="multilevel"/>
    <w:tmpl w:val="2EA4972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A677C3"/>
    <w:multiLevelType w:val="hybridMultilevel"/>
    <w:tmpl w:val="9CD66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C5395"/>
    <w:multiLevelType w:val="multilevel"/>
    <w:tmpl w:val="96164BC0"/>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3021DB"/>
    <w:multiLevelType w:val="hybridMultilevel"/>
    <w:tmpl w:val="F3F233D4"/>
    <w:lvl w:ilvl="0" w:tplc="90162C94">
      <w:start w:val="1"/>
      <w:numFmt w:val="bullet"/>
      <w:lvlText w:val=""/>
      <w:lvlJc w:val="left"/>
      <w:pPr>
        <w:tabs>
          <w:tab w:val="num" w:pos="927"/>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904FA1"/>
    <w:multiLevelType w:val="hybridMultilevel"/>
    <w:tmpl w:val="5016C0A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nsid w:val="2A0E1678"/>
    <w:multiLevelType w:val="hybridMultilevel"/>
    <w:tmpl w:val="6816848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nsid w:val="324422AC"/>
    <w:multiLevelType w:val="hybridMultilevel"/>
    <w:tmpl w:val="8CCE5308"/>
    <w:lvl w:ilvl="0" w:tplc="DB5038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nsid w:val="336611CE"/>
    <w:multiLevelType w:val="hybridMultilevel"/>
    <w:tmpl w:val="927069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DB06B6"/>
    <w:multiLevelType w:val="hybridMultilevel"/>
    <w:tmpl w:val="D3364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4F7B25"/>
    <w:multiLevelType w:val="hybridMultilevel"/>
    <w:tmpl w:val="073ABD5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775F85"/>
    <w:multiLevelType w:val="multilevel"/>
    <w:tmpl w:val="98F6A28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921215"/>
    <w:multiLevelType w:val="hybridMultilevel"/>
    <w:tmpl w:val="A600BF96"/>
    <w:lvl w:ilvl="0" w:tplc="5B58C04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CE26B9"/>
    <w:multiLevelType w:val="multilevel"/>
    <w:tmpl w:val="298E7E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9407D86"/>
    <w:multiLevelType w:val="hybridMultilevel"/>
    <w:tmpl w:val="AF422D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1"/>
  </w:num>
  <w:num w:numId="4">
    <w:abstractNumId w:val="9"/>
  </w:num>
  <w:num w:numId="5">
    <w:abstractNumId w:val="4"/>
  </w:num>
  <w:num w:numId="6">
    <w:abstractNumId w:val="5"/>
  </w:num>
  <w:num w:numId="7">
    <w:abstractNumId w:val="2"/>
  </w:num>
  <w:num w:numId="8">
    <w:abstractNumId w:val="3"/>
  </w:num>
  <w:num w:numId="9">
    <w:abstractNumId w:val="0"/>
  </w:num>
  <w:num w:numId="10">
    <w:abstractNumId w:val="10"/>
  </w:num>
  <w:num w:numId="11">
    <w:abstractNumId w:val="14"/>
  </w:num>
  <w:num w:numId="12">
    <w:abstractNumId w:val="8"/>
  </w:num>
  <w:num w:numId="13">
    <w:abstractNumId w:val="7"/>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A3"/>
    <w:rsid w:val="000D7D98"/>
    <w:rsid w:val="000F127B"/>
    <w:rsid w:val="001F07CF"/>
    <w:rsid w:val="00362B35"/>
    <w:rsid w:val="0037100C"/>
    <w:rsid w:val="003F7DA3"/>
    <w:rsid w:val="005238C4"/>
    <w:rsid w:val="00776757"/>
    <w:rsid w:val="007A43DC"/>
    <w:rsid w:val="0096133D"/>
    <w:rsid w:val="009F7365"/>
    <w:rsid w:val="00A66E1F"/>
    <w:rsid w:val="00CB3B7E"/>
    <w:rsid w:val="00F0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F7365"/>
    <w:pPr>
      <w:keepNext/>
      <w:outlineLvl w:val="0"/>
    </w:pPr>
    <w:rPr>
      <w:b/>
      <w:bCs/>
      <w:lang w:eastAsia="en-US"/>
    </w:rPr>
  </w:style>
  <w:style w:type="paragraph" w:styleId="Heading2">
    <w:name w:val="heading 2"/>
    <w:basedOn w:val="Normal"/>
    <w:next w:val="Normal"/>
    <w:link w:val="Heading2Char"/>
    <w:uiPriority w:val="9"/>
    <w:unhideWhenUsed/>
    <w:qFormat/>
    <w:rsid w:val="001F07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36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F7365"/>
    <w:rPr>
      <w:rFonts w:ascii="Tahoma" w:hAnsi="Tahoma" w:cs="Tahoma"/>
      <w:sz w:val="16"/>
      <w:szCs w:val="16"/>
    </w:rPr>
  </w:style>
  <w:style w:type="character" w:customStyle="1" w:styleId="BalloonTextChar">
    <w:name w:val="Balloon Text Char"/>
    <w:basedOn w:val="DefaultParagraphFont"/>
    <w:link w:val="BalloonText"/>
    <w:uiPriority w:val="99"/>
    <w:semiHidden/>
    <w:rsid w:val="009F7365"/>
    <w:rPr>
      <w:rFonts w:ascii="Tahoma" w:eastAsia="Times New Roman" w:hAnsi="Tahoma" w:cs="Tahoma"/>
      <w:sz w:val="16"/>
      <w:szCs w:val="16"/>
      <w:lang w:eastAsia="en-GB"/>
    </w:rPr>
  </w:style>
  <w:style w:type="paragraph" w:styleId="Footer">
    <w:name w:val="footer"/>
    <w:basedOn w:val="Normal"/>
    <w:link w:val="FooterChar"/>
    <w:uiPriority w:val="99"/>
    <w:rsid w:val="009F7365"/>
    <w:pPr>
      <w:tabs>
        <w:tab w:val="center" w:pos="4320"/>
        <w:tab w:val="right" w:pos="8640"/>
      </w:tabs>
    </w:pPr>
  </w:style>
  <w:style w:type="character" w:customStyle="1" w:styleId="FooterChar">
    <w:name w:val="Footer Char"/>
    <w:basedOn w:val="DefaultParagraphFont"/>
    <w:link w:val="Footer"/>
    <w:uiPriority w:val="99"/>
    <w:rsid w:val="009F7365"/>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F7365"/>
    <w:pPr>
      <w:tabs>
        <w:tab w:val="center" w:pos="4513"/>
        <w:tab w:val="right" w:pos="9026"/>
      </w:tabs>
    </w:pPr>
  </w:style>
  <w:style w:type="character" w:customStyle="1" w:styleId="HeaderChar">
    <w:name w:val="Header Char"/>
    <w:basedOn w:val="DefaultParagraphFont"/>
    <w:link w:val="Header"/>
    <w:uiPriority w:val="99"/>
    <w:rsid w:val="009F7365"/>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F07CF"/>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1F07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07CF"/>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1F0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F7365"/>
    <w:pPr>
      <w:keepNext/>
      <w:outlineLvl w:val="0"/>
    </w:pPr>
    <w:rPr>
      <w:b/>
      <w:bCs/>
      <w:lang w:eastAsia="en-US"/>
    </w:rPr>
  </w:style>
  <w:style w:type="paragraph" w:styleId="Heading2">
    <w:name w:val="heading 2"/>
    <w:basedOn w:val="Normal"/>
    <w:next w:val="Normal"/>
    <w:link w:val="Heading2Char"/>
    <w:uiPriority w:val="9"/>
    <w:unhideWhenUsed/>
    <w:qFormat/>
    <w:rsid w:val="001F07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36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F7365"/>
    <w:rPr>
      <w:rFonts w:ascii="Tahoma" w:hAnsi="Tahoma" w:cs="Tahoma"/>
      <w:sz w:val="16"/>
      <w:szCs w:val="16"/>
    </w:rPr>
  </w:style>
  <w:style w:type="character" w:customStyle="1" w:styleId="BalloonTextChar">
    <w:name w:val="Balloon Text Char"/>
    <w:basedOn w:val="DefaultParagraphFont"/>
    <w:link w:val="BalloonText"/>
    <w:uiPriority w:val="99"/>
    <w:semiHidden/>
    <w:rsid w:val="009F7365"/>
    <w:rPr>
      <w:rFonts w:ascii="Tahoma" w:eastAsia="Times New Roman" w:hAnsi="Tahoma" w:cs="Tahoma"/>
      <w:sz w:val="16"/>
      <w:szCs w:val="16"/>
      <w:lang w:eastAsia="en-GB"/>
    </w:rPr>
  </w:style>
  <w:style w:type="paragraph" w:styleId="Footer">
    <w:name w:val="footer"/>
    <w:basedOn w:val="Normal"/>
    <w:link w:val="FooterChar"/>
    <w:uiPriority w:val="99"/>
    <w:rsid w:val="009F7365"/>
    <w:pPr>
      <w:tabs>
        <w:tab w:val="center" w:pos="4320"/>
        <w:tab w:val="right" w:pos="8640"/>
      </w:tabs>
    </w:pPr>
  </w:style>
  <w:style w:type="character" w:customStyle="1" w:styleId="FooterChar">
    <w:name w:val="Footer Char"/>
    <w:basedOn w:val="DefaultParagraphFont"/>
    <w:link w:val="Footer"/>
    <w:uiPriority w:val="99"/>
    <w:rsid w:val="009F7365"/>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F7365"/>
    <w:pPr>
      <w:tabs>
        <w:tab w:val="center" w:pos="4513"/>
        <w:tab w:val="right" w:pos="9026"/>
      </w:tabs>
    </w:pPr>
  </w:style>
  <w:style w:type="character" w:customStyle="1" w:styleId="HeaderChar">
    <w:name w:val="Header Char"/>
    <w:basedOn w:val="DefaultParagraphFont"/>
    <w:link w:val="Header"/>
    <w:uiPriority w:val="99"/>
    <w:rsid w:val="009F7365"/>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F07CF"/>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1F07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07CF"/>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1F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jyoung</dc:creator>
  <cp:lastModifiedBy>Steve Reay</cp:lastModifiedBy>
  <cp:revision>2</cp:revision>
  <cp:lastPrinted>2016-02-10T12:33:00Z</cp:lastPrinted>
  <dcterms:created xsi:type="dcterms:W3CDTF">2019-05-24T09:39:00Z</dcterms:created>
  <dcterms:modified xsi:type="dcterms:W3CDTF">2019-05-24T09:39:00Z</dcterms:modified>
</cp:coreProperties>
</file>